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291" w:rsidRPr="00266AA1" w:rsidRDefault="00D64291" w:rsidP="00EB757B">
      <w:pPr>
        <w:spacing w:line="300" w:lineRule="exact"/>
        <w:jc w:val="both"/>
        <w:rPr>
          <w:rFonts w:cs="Arial"/>
          <w:sz w:val="18"/>
          <w:szCs w:val="18"/>
        </w:rPr>
      </w:pPr>
    </w:p>
    <w:p w:rsidR="00D64291" w:rsidRPr="00266AA1" w:rsidRDefault="00D64291" w:rsidP="00EB757B">
      <w:pPr>
        <w:spacing w:line="300" w:lineRule="exact"/>
        <w:jc w:val="both"/>
        <w:rPr>
          <w:rFonts w:cs="Arial"/>
          <w:sz w:val="18"/>
          <w:szCs w:val="18"/>
        </w:rPr>
      </w:pPr>
      <w:r w:rsidRPr="00266AA1">
        <w:rPr>
          <w:rFonts w:cs="Arial"/>
          <w:sz w:val="18"/>
          <w:szCs w:val="18"/>
        </w:rPr>
        <w:t xml:space="preserve">ll </w:t>
      </w:r>
      <w:r w:rsidRPr="00266AA1">
        <w:rPr>
          <w:rFonts w:cs="Arial"/>
          <w:b/>
          <w:sz w:val="18"/>
          <w:szCs w:val="18"/>
        </w:rPr>
        <w:t>Centro delle Professioni</w:t>
      </w:r>
      <w:r w:rsidRPr="00266AA1">
        <w:rPr>
          <w:rFonts w:cs="Arial"/>
          <w:sz w:val="18"/>
          <w:szCs w:val="18"/>
        </w:rPr>
        <w:t xml:space="preserve"> e il </w:t>
      </w:r>
      <w:r w:rsidRPr="00266AA1">
        <w:rPr>
          <w:rFonts w:cs="Arial"/>
          <w:b/>
          <w:sz w:val="18"/>
          <w:szCs w:val="18"/>
        </w:rPr>
        <w:t xml:space="preserve">Centro per l’Innovazione dell’Università degli Studi di Bergamo </w:t>
      </w:r>
      <w:r w:rsidRPr="00266AA1">
        <w:rPr>
          <w:rFonts w:cs="Arial"/>
          <w:sz w:val="18"/>
          <w:szCs w:val="18"/>
        </w:rPr>
        <w:t>progettati</w:t>
      </w:r>
      <w:r w:rsidRPr="00266AA1">
        <w:rPr>
          <w:rFonts w:cs="Arial"/>
          <w:b/>
          <w:sz w:val="18"/>
          <w:szCs w:val="18"/>
        </w:rPr>
        <w:t xml:space="preserve"> </w:t>
      </w:r>
      <w:r w:rsidRPr="00266AA1">
        <w:rPr>
          <w:rFonts w:cs="Arial"/>
          <w:sz w:val="18"/>
          <w:szCs w:val="18"/>
        </w:rPr>
        <w:t xml:space="preserve">da </w:t>
      </w:r>
      <w:r>
        <w:rPr>
          <w:rFonts w:cs="Arial"/>
          <w:b/>
          <w:sz w:val="18"/>
          <w:szCs w:val="18"/>
        </w:rPr>
        <w:t xml:space="preserve">Blast </w:t>
      </w:r>
      <w:r w:rsidRPr="00266AA1">
        <w:rPr>
          <w:rFonts w:cs="Arial"/>
          <w:b/>
          <w:sz w:val="18"/>
          <w:szCs w:val="18"/>
        </w:rPr>
        <w:t xml:space="preserve">Architetti, Luca Bombassei, Franz Siccardi, Simona Traversa </w:t>
      </w:r>
      <w:r w:rsidRPr="00266AA1">
        <w:rPr>
          <w:rFonts w:cs="Arial"/>
          <w:sz w:val="18"/>
          <w:szCs w:val="18"/>
        </w:rPr>
        <w:t>si trovano nel Parco Scientifico Tecnologico Kilometro Rosso - un'area di 40 ettari p</w:t>
      </w:r>
      <w:r>
        <w:rPr>
          <w:rFonts w:cs="Arial"/>
          <w:sz w:val="18"/>
          <w:szCs w:val="18"/>
        </w:rPr>
        <w:t xml:space="preserve">er 197.000 mq. di s.l.p.- nato su master plan di Jean Nouvel </w:t>
      </w:r>
      <w:r w:rsidRPr="00266AA1">
        <w:rPr>
          <w:rFonts w:cs="Arial"/>
          <w:sz w:val="18"/>
          <w:szCs w:val="18"/>
        </w:rPr>
        <w:t xml:space="preserve">alle porte di Bergamo lungo l’autostrada A4 Milano - Venezia. </w:t>
      </w:r>
    </w:p>
    <w:p w:rsidR="00D64291" w:rsidRPr="00266AA1" w:rsidRDefault="00D64291" w:rsidP="00EB757B">
      <w:pPr>
        <w:spacing w:line="300" w:lineRule="exact"/>
        <w:jc w:val="both"/>
        <w:rPr>
          <w:rFonts w:cs="Arial"/>
          <w:sz w:val="18"/>
          <w:szCs w:val="18"/>
        </w:rPr>
      </w:pPr>
      <w:r w:rsidRPr="00266AA1">
        <w:rPr>
          <w:rFonts w:cs="Arial"/>
          <w:sz w:val="18"/>
          <w:szCs w:val="18"/>
        </w:rPr>
        <w:t>I due nuovi edifici seguono il completamento del Nuovo Centro Ricerche e Sviluppo di Brembo (progetto architettonico Jean Nouvel, progetto degli interni Blast Architetti), inaugurato nel 2007.</w:t>
      </w:r>
    </w:p>
    <w:p w:rsidR="00D64291" w:rsidRPr="00266AA1" w:rsidRDefault="00D64291" w:rsidP="00EB757B">
      <w:pPr>
        <w:spacing w:line="300" w:lineRule="exact"/>
        <w:jc w:val="both"/>
        <w:rPr>
          <w:rFonts w:cs="Arial"/>
          <w:sz w:val="18"/>
          <w:szCs w:val="18"/>
        </w:rPr>
      </w:pPr>
      <w:r w:rsidRPr="00266AA1">
        <w:rPr>
          <w:rFonts w:cs="Arial"/>
          <w:sz w:val="18"/>
          <w:szCs w:val="18"/>
        </w:rPr>
        <w:t xml:space="preserve">Il Parco Scientifico concepito al suo interno come un campus immerso nel verde è caratterizzato lungo l’autostrada da una spettacolare quinta architettonica in alluminio estruso di colore “rosso Kilometro Rosso”. Il “Muro Rosso” con un’altezza di dieci metri corre lungo l’A4 per un chilometro di lunghezza. Su questo importante </w:t>
      </w:r>
      <w:r>
        <w:rPr>
          <w:rFonts w:cs="Arial"/>
          <w:sz w:val="18"/>
          <w:szCs w:val="18"/>
        </w:rPr>
        <w:t>Landmark</w:t>
      </w:r>
      <w:r>
        <w:rPr>
          <w:rFonts w:cs="Arial"/>
          <w:b/>
          <w:sz w:val="18"/>
          <w:szCs w:val="18"/>
        </w:rPr>
        <w:t xml:space="preserve">, </w:t>
      </w:r>
      <w:r w:rsidRPr="00266AA1">
        <w:rPr>
          <w:rFonts w:cs="Arial"/>
          <w:sz w:val="18"/>
          <w:szCs w:val="18"/>
        </w:rPr>
        <w:t>si attestano con un andamento “a pettine” la maggior parte degli edifici del nuovo insediamento.</w:t>
      </w:r>
      <w:r w:rsidRPr="00266AA1">
        <w:rPr>
          <w:rFonts w:cs="Arial"/>
          <w:b/>
          <w:sz w:val="18"/>
          <w:szCs w:val="18"/>
        </w:rPr>
        <w:t xml:space="preserve"> </w:t>
      </w:r>
      <w:r w:rsidRPr="00266AA1">
        <w:rPr>
          <w:rFonts w:cs="Arial"/>
          <w:sz w:val="18"/>
          <w:szCs w:val="18"/>
        </w:rPr>
        <w:t xml:space="preserve">La continuità del fronte lamellare, è interrotta da grandi aperture che consentono sia il passaggio delle auto che l’accesso pedonale ai vari edifici nel Parco. </w:t>
      </w:r>
    </w:p>
    <w:p w:rsidR="00D64291" w:rsidRPr="00266AA1" w:rsidRDefault="00D64291" w:rsidP="00EB757B">
      <w:pPr>
        <w:spacing w:line="300" w:lineRule="exact"/>
        <w:jc w:val="both"/>
        <w:rPr>
          <w:rFonts w:cs="Arial"/>
          <w:sz w:val="18"/>
          <w:szCs w:val="18"/>
        </w:rPr>
      </w:pPr>
    </w:p>
    <w:p w:rsidR="00D64291" w:rsidRPr="00266AA1" w:rsidRDefault="00D64291" w:rsidP="00EB757B">
      <w:pPr>
        <w:spacing w:line="300" w:lineRule="exact"/>
        <w:jc w:val="both"/>
        <w:rPr>
          <w:rFonts w:cs="Arial"/>
          <w:sz w:val="18"/>
          <w:szCs w:val="18"/>
        </w:rPr>
      </w:pPr>
      <w:r w:rsidRPr="00266AA1">
        <w:rPr>
          <w:rFonts w:cs="Arial"/>
          <w:sz w:val="18"/>
          <w:szCs w:val="18"/>
        </w:rPr>
        <w:t>Il Centro delle Professioni e il Centro per l’Innovazione dell’Università degli Studi di Bergamo sono stati progettati da Blast Architetti nell’ambito della propria ricerca sull’architettura sostenibile.</w:t>
      </w:r>
    </w:p>
    <w:p w:rsidR="00D64291" w:rsidRPr="00266AA1" w:rsidRDefault="00D64291" w:rsidP="00EB757B">
      <w:pPr>
        <w:spacing w:line="300" w:lineRule="exact"/>
        <w:jc w:val="both"/>
        <w:rPr>
          <w:rFonts w:cs="Arial"/>
          <w:sz w:val="18"/>
          <w:szCs w:val="18"/>
        </w:rPr>
      </w:pPr>
      <w:r w:rsidRPr="00266AA1">
        <w:rPr>
          <w:rFonts w:cs="Arial"/>
          <w:sz w:val="18"/>
          <w:szCs w:val="18"/>
        </w:rPr>
        <w:t xml:space="preserve">Grazie a studiate soluzioni compositive basate su volumi aggettanti e sistemi schermanti dei fronti in grado di ottimizzare l’irraggiamento solare, </w:t>
      </w:r>
      <w:r>
        <w:rPr>
          <w:rFonts w:cs="Arial"/>
          <w:sz w:val="18"/>
          <w:szCs w:val="18"/>
        </w:rPr>
        <w:t>al</w:t>
      </w:r>
      <w:r w:rsidRPr="00266AA1">
        <w:rPr>
          <w:rFonts w:cs="Arial"/>
          <w:sz w:val="18"/>
          <w:szCs w:val="18"/>
        </w:rPr>
        <w:t xml:space="preserve">l’adozione di elementi prefabbricati certificati e </w:t>
      </w:r>
      <w:r>
        <w:rPr>
          <w:rFonts w:cs="Arial"/>
          <w:sz w:val="18"/>
          <w:szCs w:val="18"/>
        </w:rPr>
        <w:t xml:space="preserve">di </w:t>
      </w:r>
      <w:r w:rsidRPr="00266AA1">
        <w:rPr>
          <w:rFonts w:cs="Arial"/>
          <w:sz w:val="18"/>
          <w:szCs w:val="18"/>
        </w:rPr>
        <w:t xml:space="preserve">sofisticate soluzioni tecnologiche per il controllo e l’ottimizzazione dei consumi, gli edifici hanno raggiunto risultati in grado di garantire il conseguimento della </w:t>
      </w:r>
      <w:r w:rsidRPr="00266AA1">
        <w:rPr>
          <w:rFonts w:cs="Arial"/>
          <w:b/>
          <w:sz w:val="18"/>
          <w:szCs w:val="18"/>
        </w:rPr>
        <w:t>classe A</w:t>
      </w:r>
      <w:r w:rsidRPr="00266AA1">
        <w:rPr>
          <w:rFonts w:cs="Arial"/>
          <w:sz w:val="18"/>
          <w:szCs w:val="18"/>
        </w:rPr>
        <w:t xml:space="preserve"> sia secondo la certificazione della regione </w:t>
      </w:r>
      <w:r w:rsidRPr="00266AA1">
        <w:rPr>
          <w:rFonts w:cs="Arial"/>
          <w:b/>
          <w:sz w:val="18"/>
          <w:szCs w:val="18"/>
        </w:rPr>
        <w:t xml:space="preserve">Lombardia CENED </w:t>
      </w:r>
      <w:r w:rsidRPr="00266AA1">
        <w:rPr>
          <w:rFonts w:cs="Arial"/>
          <w:sz w:val="18"/>
          <w:szCs w:val="18"/>
        </w:rPr>
        <w:t xml:space="preserve">sia secondo il protocollo di </w:t>
      </w:r>
      <w:r w:rsidRPr="00266AA1">
        <w:rPr>
          <w:rFonts w:cs="Arial"/>
          <w:b/>
          <w:sz w:val="18"/>
          <w:szCs w:val="18"/>
        </w:rPr>
        <w:t>CasaClima.</w:t>
      </w:r>
    </w:p>
    <w:p w:rsidR="00D64291" w:rsidRDefault="00D64291" w:rsidP="00EB757B">
      <w:pPr>
        <w:spacing w:line="300" w:lineRule="exact"/>
        <w:jc w:val="both"/>
        <w:rPr>
          <w:rFonts w:cs="Arial"/>
          <w:b/>
          <w:sz w:val="18"/>
          <w:szCs w:val="18"/>
        </w:rPr>
      </w:pPr>
    </w:p>
    <w:p w:rsidR="00D64291" w:rsidRPr="00266AA1" w:rsidRDefault="00D64291" w:rsidP="00EB757B">
      <w:pPr>
        <w:spacing w:line="300" w:lineRule="exact"/>
        <w:jc w:val="both"/>
        <w:rPr>
          <w:rFonts w:cs="Arial"/>
          <w:b/>
          <w:sz w:val="18"/>
          <w:szCs w:val="18"/>
        </w:rPr>
      </w:pPr>
      <w:r w:rsidRPr="00266AA1">
        <w:rPr>
          <w:rFonts w:cs="Arial"/>
          <w:b/>
          <w:sz w:val="18"/>
          <w:szCs w:val="18"/>
        </w:rPr>
        <w:t>Geotermia ed energia solare</w:t>
      </w:r>
    </w:p>
    <w:p w:rsidR="00D64291" w:rsidRPr="00266AA1" w:rsidRDefault="00D64291" w:rsidP="00EB757B">
      <w:pPr>
        <w:spacing w:line="300" w:lineRule="exact"/>
        <w:jc w:val="both"/>
        <w:rPr>
          <w:rFonts w:cs="Arial"/>
          <w:sz w:val="18"/>
          <w:szCs w:val="18"/>
        </w:rPr>
      </w:pPr>
      <w:r w:rsidRPr="00266AA1">
        <w:rPr>
          <w:rFonts w:cs="Arial"/>
          <w:sz w:val="18"/>
          <w:szCs w:val="18"/>
        </w:rPr>
        <w:t xml:space="preserve">In accordo con </w:t>
      </w:r>
      <w:r>
        <w:rPr>
          <w:rFonts w:cs="Arial"/>
          <w:sz w:val="18"/>
          <w:szCs w:val="18"/>
        </w:rPr>
        <w:t xml:space="preserve">gli </w:t>
      </w:r>
      <w:r w:rsidRPr="00266AA1">
        <w:rPr>
          <w:rFonts w:cs="Arial"/>
          <w:sz w:val="18"/>
          <w:szCs w:val="18"/>
        </w:rPr>
        <w:t>obiettivi</w:t>
      </w:r>
      <w:r>
        <w:rPr>
          <w:rFonts w:cs="Arial"/>
          <w:sz w:val="18"/>
          <w:szCs w:val="18"/>
        </w:rPr>
        <w:t xml:space="preserve"> di sostenibilità</w:t>
      </w:r>
      <w:r w:rsidRPr="00266AA1">
        <w:rPr>
          <w:rFonts w:cs="Arial"/>
          <w:sz w:val="18"/>
          <w:szCs w:val="18"/>
        </w:rPr>
        <w:t xml:space="preserve"> per il riscaldamento e</w:t>
      </w:r>
      <w:r>
        <w:rPr>
          <w:rFonts w:cs="Arial"/>
          <w:sz w:val="18"/>
          <w:szCs w:val="18"/>
        </w:rPr>
        <w:t xml:space="preserve"> il raffrescamento di entrambi </w:t>
      </w:r>
      <w:r w:rsidRPr="00266AA1">
        <w:rPr>
          <w:rFonts w:cs="Arial"/>
          <w:sz w:val="18"/>
          <w:szCs w:val="18"/>
        </w:rPr>
        <w:t>gli interventi è stato utilizzato un sistema parzialmente basato su sonde geotermiche chiuse, tecnologia con il pregio di non condizionare il progetto architettonico in maniera sostanziale, mentre a pannelli solari posti in copertura è stata affidata la produzione di acqua calda sanitaria.</w:t>
      </w:r>
    </w:p>
    <w:p w:rsidR="00D64291" w:rsidRPr="00266AA1" w:rsidRDefault="00D64291" w:rsidP="00EB757B">
      <w:pPr>
        <w:spacing w:line="300" w:lineRule="exact"/>
        <w:jc w:val="both"/>
        <w:rPr>
          <w:rFonts w:cs="Arial"/>
          <w:sz w:val="18"/>
          <w:szCs w:val="18"/>
        </w:rPr>
      </w:pPr>
    </w:p>
    <w:p w:rsidR="00D64291" w:rsidRPr="00683070" w:rsidRDefault="00D64291" w:rsidP="00EB757B">
      <w:pPr>
        <w:spacing w:line="300" w:lineRule="exact"/>
        <w:jc w:val="both"/>
        <w:rPr>
          <w:rFonts w:cs="Arial"/>
          <w:b/>
          <w:sz w:val="26"/>
          <w:szCs w:val="26"/>
        </w:rPr>
      </w:pPr>
      <w:r w:rsidRPr="00683070">
        <w:rPr>
          <w:rFonts w:cs="Arial"/>
          <w:b/>
          <w:sz w:val="26"/>
          <w:szCs w:val="26"/>
        </w:rPr>
        <w:t>Centro delle Professioni: il Portale di Kilometro Rosso</w:t>
      </w:r>
    </w:p>
    <w:p w:rsidR="00D64291" w:rsidRDefault="00D64291" w:rsidP="00EB757B">
      <w:pPr>
        <w:spacing w:line="300" w:lineRule="exact"/>
        <w:jc w:val="both"/>
        <w:rPr>
          <w:rFonts w:cs="Arial"/>
          <w:sz w:val="18"/>
          <w:szCs w:val="18"/>
        </w:rPr>
      </w:pPr>
      <w:r w:rsidRPr="00266AA1">
        <w:rPr>
          <w:rFonts w:cs="Arial"/>
          <w:sz w:val="18"/>
          <w:szCs w:val="18"/>
        </w:rPr>
        <w:t>Il Centro delle Professioni è il primo edificio a servizio e supporto delle attività dell’intero Parco Scientifico Tecnologico Kilometro Rosso a essere completato. Ospita la direzione del Parco, numerosi partner già attualmente insediati e un insieme di servizi generali. Grazie alla sua posizione, baricentrica rispetto alla lunghezza del landmark ideato da Jean Nouvel e alla tipologia funzionale dei suoi ambienti, il Centro delle Professioni può essere considerato l’edificio portale del Parco.</w:t>
      </w:r>
    </w:p>
    <w:p w:rsidR="00D64291" w:rsidRPr="00266AA1" w:rsidRDefault="00D64291" w:rsidP="00EB757B">
      <w:pPr>
        <w:spacing w:line="300" w:lineRule="exact"/>
        <w:jc w:val="both"/>
        <w:rPr>
          <w:rFonts w:cs="Arial"/>
          <w:sz w:val="18"/>
          <w:szCs w:val="18"/>
        </w:rPr>
      </w:pPr>
      <w:r w:rsidRPr="00266AA1">
        <w:rPr>
          <w:rFonts w:cs="Arial"/>
          <w:sz w:val="18"/>
          <w:szCs w:val="18"/>
        </w:rPr>
        <w:t>L’opera architettonica, posta a diretto contatto con il Muro Ro</w:t>
      </w:r>
      <w:r>
        <w:rPr>
          <w:rFonts w:cs="Arial"/>
          <w:sz w:val="18"/>
          <w:szCs w:val="18"/>
        </w:rPr>
        <w:t xml:space="preserve">sso in cui si apre l’ingresso, </w:t>
      </w:r>
      <w:r w:rsidRPr="00266AA1">
        <w:rPr>
          <w:rFonts w:cs="Arial"/>
          <w:sz w:val="18"/>
          <w:szCs w:val="18"/>
        </w:rPr>
        <w:t>ha una superficie di 9.000 mq</w:t>
      </w:r>
      <w:r>
        <w:rPr>
          <w:rFonts w:cs="Arial"/>
          <w:sz w:val="18"/>
          <w:szCs w:val="18"/>
        </w:rPr>
        <w:t>,</w:t>
      </w:r>
      <w:r w:rsidRPr="00266AA1">
        <w:rPr>
          <w:rFonts w:cs="Arial"/>
          <w:sz w:val="18"/>
          <w:szCs w:val="18"/>
        </w:rPr>
        <w:t xml:space="preserve"> è organizzata su quattro livelli fuori terra ed è dotata di un parcheggio interrato riservato agli utenti dell’edificio. </w:t>
      </w:r>
    </w:p>
    <w:p w:rsidR="00D64291" w:rsidRPr="00266AA1" w:rsidRDefault="00D64291" w:rsidP="00EB757B">
      <w:pPr>
        <w:spacing w:line="300" w:lineRule="exact"/>
        <w:jc w:val="both"/>
        <w:rPr>
          <w:rFonts w:cs="Arial"/>
          <w:sz w:val="18"/>
          <w:szCs w:val="18"/>
        </w:rPr>
      </w:pPr>
      <w:r w:rsidRPr="00266AA1">
        <w:rPr>
          <w:rFonts w:cs="Arial"/>
          <w:sz w:val="18"/>
          <w:szCs w:val="18"/>
        </w:rPr>
        <w:t>Al piano terreno si trovano una caffetteria, tre sale conferenze e una grande piazza coperta a diretto contatto con il Parco; al primo piano, quota dove avviene l’accesso dal parcheggio lungo l’autostrada, alcuni uffici e servizi, quali lo sportello bancario e la control room destinata alla supervisione dell’intero Parco, mentre il secondo e il terzo piano sono de</w:t>
      </w:r>
      <w:bookmarkStart w:id="0" w:name="OLE_LINK1"/>
      <w:bookmarkStart w:id="1" w:name="OLE_LINK2"/>
      <w:r>
        <w:rPr>
          <w:rFonts w:cs="Arial"/>
          <w:sz w:val="18"/>
          <w:szCs w:val="18"/>
        </w:rPr>
        <w:t>dicati interamente agli uffici.</w:t>
      </w:r>
    </w:p>
    <w:p w:rsidR="00D64291" w:rsidRPr="00266AA1" w:rsidRDefault="00D64291" w:rsidP="00EB757B">
      <w:pPr>
        <w:spacing w:line="300" w:lineRule="exact"/>
        <w:jc w:val="both"/>
        <w:rPr>
          <w:rFonts w:cs="Arial"/>
          <w:sz w:val="18"/>
          <w:szCs w:val="18"/>
        </w:rPr>
      </w:pPr>
      <w:r w:rsidRPr="00266AA1">
        <w:rPr>
          <w:rFonts w:cs="Arial"/>
          <w:sz w:val="18"/>
          <w:szCs w:val="18"/>
        </w:rPr>
        <w:t>Internamente l’edificio è caratterizzato da un ampio percorso centrale, illuminato da un lucernaio piano posto in copertura. All’esterno l’edificio appare</w:t>
      </w:r>
      <w:r>
        <w:rPr>
          <w:rFonts w:cs="Arial"/>
          <w:sz w:val="18"/>
          <w:szCs w:val="18"/>
        </w:rPr>
        <w:t xml:space="preserve"> </w:t>
      </w:r>
      <w:r w:rsidRPr="00266AA1">
        <w:rPr>
          <w:rFonts w:cs="Arial"/>
          <w:sz w:val="18"/>
          <w:szCs w:val="18"/>
        </w:rPr>
        <w:t xml:space="preserve">lineare e </w:t>
      </w:r>
      <w:r>
        <w:rPr>
          <w:rFonts w:cs="Arial"/>
          <w:sz w:val="18"/>
          <w:szCs w:val="18"/>
        </w:rPr>
        <w:t>rigoroso ed è caratterizzato da</w:t>
      </w:r>
      <w:r w:rsidRPr="00266AA1">
        <w:rPr>
          <w:rFonts w:cs="Arial"/>
          <w:sz w:val="18"/>
          <w:szCs w:val="18"/>
        </w:rPr>
        <w:t xml:space="preserve"> sistemi schermanti microforati in alluminio.</w:t>
      </w:r>
    </w:p>
    <w:p w:rsidR="00D64291" w:rsidRPr="00683070" w:rsidRDefault="00D64291" w:rsidP="00EB757B">
      <w:pPr>
        <w:spacing w:line="300" w:lineRule="exact"/>
        <w:jc w:val="both"/>
        <w:rPr>
          <w:rFonts w:cs="Arial"/>
          <w:sz w:val="26"/>
          <w:szCs w:val="26"/>
        </w:rPr>
      </w:pPr>
    </w:p>
    <w:p w:rsidR="00D64291" w:rsidRPr="00683070" w:rsidRDefault="00D64291" w:rsidP="00EB757B">
      <w:pPr>
        <w:spacing w:line="300" w:lineRule="exact"/>
        <w:jc w:val="both"/>
        <w:rPr>
          <w:rFonts w:cs="Arial"/>
          <w:sz w:val="26"/>
          <w:szCs w:val="26"/>
        </w:rPr>
      </w:pPr>
      <w:r w:rsidRPr="00683070">
        <w:rPr>
          <w:b/>
          <w:color w:val="000000"/>
          <w:sz w:val="26"/>
          <w:szCs w:val="26"/>
        </w:rPr>
        <w:t>Centro</w:t>
      </w:r>
      <w:r w:rsidRPr="00683070">
        <w:rPr>
          <w:b/>
          <w:sz w:val="26"/>
          <w:szCs w:val="26"/>
        </w:rPr>
        <w:t xml:space="preserve"> </w:t>
      </w:r>
      <w:r w:rsidRPr="00683070">
        <w:rPr>
          <w:b/>
          <w:color w:val="000000"/>
          <w:sz w:val="26"/>
          <w:szCs w:val="26"/>
        </w:rPr>
        <w:t>per l’Innovazione dell’Università degli Studi di Bergamo: un edificio trasparente per vivere a contatto con la natura</w:t>
      </w:r>
    </w:p>
    <w:bookmarkEnd w:id="0"/>
    <w:bookmarkEnd w:id="1"/>
    <w:p w:rsidR="00D64291" w:rsidRPr="00266AA1" w:rsidRDefault="00D64291" w:rsidP="00EB757B">
      <w:pPr>
        <w:spacing w:line="300" w:lineRule="exact"/>
        <w:jc w:val="both"/>
        <w:rPr>
          <w:rFonts w:cs="Arial"/>
          <w:sz w:val="18"/>
          <w:szCs w:val="18"/>
        </w:rPr>
      </w:pPr>
      <w:r w:rsidRPr="00266AA1">
        <w:rPr>
          <w:rFonts w:cs="Arial"/>
          <w:b/>
          <w:sz w:val="18"/>
          <w:szCs w:val="18"/>
        </w:rPr>
        <w:t>Il Centro Interdisciplinare Universitario per l’Innovazione dell’Università degli Studi di Bergamo</w:t>
      </w:r>
      <w:r w:rsidRPr="00266AA1">
        <w:rPr>
          <w:rFonts w:cs="Arial"/>
          <w:sz w:val="18"/>
          <w:szCs w:val="18"/>
        </w:rPr>
        <w:t>, è destinato ad ospitare attività formative interdisciplinari rivolte prevalentemente a imprenditori e manager e corsi di Meccatronica e Bioingegneria.</w:t>
      </w:r>
    </w:p>
    <w:p w:rsidR="00D64291" w:rsidRPr="00266AA1" w:rsidRDefault="00D64291" w:rsidP="00EB757B">
      <w:pPr>
        <w:spacing w:line="300" w:lineRule="exact"/>
        <w:jc w:val="both"/>
        <w:rPr>
          <w:rFonts w:cs="Arial"/>
          <w:sz w:val="18"/>
          <w:szCs w:val="18"/>
        </w:rPr>
      </w:pPr>
      <w:r w:rsidRPr="00266AA1">
        <w:rPr>
          <w:rFonts w:cs="Arial"/>
          <w:sz w:val="18"/>
          <w:szCs w:val="18"/>
        </w:rPr>
        <w:t xml:space="preserve">L’edificio ha una superficie complessiva di 3.000 mq, è organizzato su tre livelli ed è dotato di un parcheggio interrato. Si tratta di un volume parallelepipedo lineare che si attesta ortogonalmente sul Muro Rosso. A sud-ovest l’impianto si apre fino a comprendere un ulteriore volume a pianta triangolare, che va ad ampliare il piano terreno definendo un perimetro trapezoidale. Affacciato a sud-ovest verso il Centro Ricerche e Sviluppo di Brembo, a nord-est verso il Centro delle Professioni, l’edificio si conclude a sud-est con un importante volume a sbalzo verso il Parco. </w:t>
      </w:r>
    </w:p>
    <w:p w:rsidR="00D64291" w:rsidRPr="00266AA1" w:rsidRDefault="00D64291" w:rsidP="00EB757B">
      <w:pPr>
        <w:spacing w:line="300" w:lineRule="exact"/>
        <w:jc w:val="both"/>
        <w:rPr>
          <w:rFonts w:cs="Arial"/>
          <w:sz w:val="18"/>
          <w:szCs w:val="18"/>
        </w:rPr>
      </w:pPr>
    </w:p>
    <w:p w:rsidR="00D64291" w:rsidRPr="00266AA1" w:rsidRDefault="00D64291" w:rsidP="00EB757B">
      <w:pPr>
        <w:spacing w:line="300" w:lineRule="exact"/>
        <w:jc w:val="both"/>
        <w:rPr>
          <w:rFonts w:cs="Arial"/>
          <w:sz w:val="18"/>
          <w:szCs w:val="18"/>
        </w:rPr>
      </w:pPr>
      <w:r w:rsidRPr="00266AA1">
        <w:rPr>
          <w:rFonts w:cs="Arial"/>
          <w:sz w:val="18"/>
          <w:szCs w:val="18"/>
        </w:rPr>
        <w:t>Se nel primo edificio Blast ha optato per una soluzione molto austera all’esterno</w:t>
      </w:r>
      <w:r>
        <w:rPr>
          <w:rFonts w:cs="Arial"/>
          <w:sz w:val="18"/>
          <w:szCs w:val="18"/>
        </w:rPr>
        <w:t>,</w:t>
      </w:r>
      <w:r w:rsidRPr="00266AA1">
        <w:rPr>
          <w:rFonts w:cs="Arial"/>
          <w:sz w:val="18"/>
          <w:szCs w:val="18"/>
        </w:rPr>
        <w:t xml:space="preserve"> che si risolve in u</w:t>
      </w:r>
      <w:r>
        <w:rPr>
          <w:rFonts w:cs="Arial"/>
          <w:sz w:val="18"/>
          <w:szCs w:val="18"/>
        </w:rPr>
        <w:t>n interessante contrasto con l’</w:t>
      </w:r>
      <w:r w:rsidRPr="00266AA1">
        <w:rPr>
          <w:rFonts w:cs="Arial"/>
          <w:sz w:val="18"/>
          <w:szCs w:val="18"/>
        </w:rPr>
        <w:t>ampiezza e la serenità degli spazi pubblici inter</w:t>
      </w:r>
      <w:r>
        <w:rPr>
          <w:rFonts w:cs="Arial"/>
          <w:sz w:val="18"/>
          <w:szCs w:val="18"/>
        </w:rPr>
        <w:t>ni della piazza coperta e dell’</w:t>
      </w:r>
      <w:r w:rsidRPr="00266AA1">
        <w:rPr>
          <w:rFonts w:cs="Arial"/>
          <w:sz w:val="18"/>
          <w:szCs w:val="18"/>
        </w:rPr>
        <w:t>ampio percorso interno, nel Centro per l’Innovazione dell’Università degli Studi di Bergamo interno ed esterno sono trattati in perfetto parallelismo grazie alla superficie piana trasparente che costituisce l’unica tipologia di tamponamento adottata.</w:t>
      </w:r>
    </w:p>
    <w:p w:rsidR="00D64291" w:rsidRPr="00266AA1" w:rsidRDefault="00D64291" w:rsidP="00EB757B">
      <w:pPr>
        <w:spacing w:line="300" w:lineRule="exact"/>
        <w:jc w:val="both"/>
        <w:rPr>
          <w:rFonts w:cs="Arial"/>
          <w:sz w:val="18"/>
          <w:szCs w:val="18"/>
        </w:rPr>
      </w:pPr>
      <w:r w:rsidRPr="00266AA1">
        <w:rPr>
          <w:rFonts w:cs="Arial"/>
          <w:sz w:val="18"/>
          <w:szCs w:val="18"/>
        </w:rPr>
        <w:t>Il risultato è un edificio sempre rigoroso ma completamente aperto alla relazione visiva diretta tra spazi di studio interni e il verde del Parco che lo circonda a sud e ovest fino a r</w:t>
      </w:r>
      <w:r>
        <w:rPr>
          <w:rFonts w:cs="Arial"/>
          <w:sz w:val="18"/>
          <w:szCs w:val="18"/>
        </w:rPr>
        <w:t>aggiungere il Muro Rosso a nord</w:t>
      </w:r>
      <w:r w:rsidRPr="00266AA1">
        <w:rPr>
          <w:rFonts w:cs="Arial"/>
          <w:sz w:val="18"/>
          <w:szCs w:val="18"/>
        </w:rPr>
        <w:t>. A est dialoga efficacemente per differenza con il Centro delle Professioni.</w:t>
      </w:r>
    </w:p>
    <w:p w:rsidR="00D64291" w:rsidRPr="00266AA1" w:rsidRDefault="00D64291" w:rsidP="00EB757B">
      <w:pPr>
        <w:spacing w:line="300" w:lineRule="exact"/>
        <w:jc w:val="both"/>
        <w:rPr>
          <w:rFonts w:cs="Arial"/>
          <w:sz w:val="18"/>
          <w:szCs w:val="18"/>
        </w:rPr>
      </w:pPr>
    </w:p>
    <w:p w:rsidR="00D64291" w:rsidRPr="00683070" w:rsidRDefault="00D64291" w:rsidP="00EB757B">
      <w:pPr>
        <w:spacing w:line="300" w:lineRule="exact"/>
        <w:jc w:val="both"/>
        <w:rPr>
          <w:rFonts w:cs="Arial"/>
          <w:b/>
          <w:sz w:val="26"/>
          <w:szCs w:val="26"/>
        </w:rPr>
      </w:pPr>
      <w:r w:rsidRPr="00683070">
        <w:rPr>
          <w:rFonts w:cs="Arial"/>
          <w:b/>
          <w:sz w:val="26"/>
          <w:szCs w:val="26"/>
        </w:rPr>
        <w:t>Blast Architetti</w:t>
      </w:r>
    </w:p>
    <w:p w:rsidR="00D64291" w:rsidRPr="00683070" w:rsidRDefault="00D64291" w:rsidP="00EB757B">
      <w:pPr>
        <w:spacing w:line="300" w:lineRule="exact"/>
        <w:jc w:val="both"/>
        <w:rPr>
          <w:rFonts w:cs="Arial"/>
          <w:sz w:val="26"/>
          <w:szCs w:val="26"/>
        </w:rPr>
      </w:pPr>
      <w:r w:rsidRPr="00683070">
        <w:rPr>
          <w:rFonts w:cs="Arial"/>
          <w:b/>
          <w:sz w:val="26"/>
          <w:szCs w:val="26"/>
        </w:rPr>
        <w:t>B</w:t>
      </w:r>
      <w:r w:rsidRPr="00683070">
        <w:rPr>
          <w:rFonts w:cs="Arial"/>
          <w:sz w:val="26"/>
          <w:szCs w:val="26"/>
        </w:rPr>
        <w:t xml:space="preserve">ombassei, </w:t>
      </w:r>
      <w:r w:rsidRPr="00683070">
        <w:rPr>
          <w:rFonts w:cs="Arial"/>
          <w:b/>
          <w:sz w:val="26"/>
          <w:szCs w:val="26"/>
        </w:rPr>
        <w:t>S</w:t>
      </w:r>
      <w:r w:rsidRPr="00683070">
        <w:rPr>
          <w:rFonts w:cs="Arial"/>
          <w:sz w:val="26"/>
          <w:szCs w:val="26"/>
        </w:rPr>
        <w:t xml:space="preserve">iccardi, </w:t>
      </w:r>
      <w:r w:rsidRPr="00683070">
        <w:rPr>
          <w:rFonts w:cs="Arial"/>
          <w:b/>
          <w:sz w:val="26"/>
          <w:szCs w:val="26"/>
        </w:rPr>
        <w:t>T</w:t>
      </w:r>
      <w:r w:rsidRPr="00683070">
        <w:rPr>
          <w:rFonts w:cs="Arial"/>
          <w:sz w:val="26"/>
          <w:szCs w:val="26"/>
        </w:rPr>
        <w:t>raversa</w:t>
      </w:r>
    </w:p>
    <w:p w:rsidR="00D64291" w:rsidRPr="00266AA1" w:rsidRDefault="00D64291" w:rsidP="00EB757B">
      <w:pPr>
        <w:spacing w:line="300" w:lineRule="exact"/>
        <w:jc w:val="both"/>
        <w:rPr>
          <w:rFonts w:cs="Arial"/>
          <w:sz w:val="18"/>
          <w:szCs w:val="18"/>
        </w:rPr>
      </w:pPr>
      <w:r w:rsidRPr="00266AA1">
        <w:rPr>
          <w:rFonts w:cs="Arial"/>
          <w:sz w:val="18"/>
          <w:szCs w:val="18"/>
        </w:rPr>
        <w:t>Lo Studio Blast Architetti  è stato fondato nel 2001 ed è attualmente</w:t>
      </w:r>
      <w:r>
        <w:rPr>
          <w:rFonts w:cs="Arial"/>
          <w:sz w:val="18"/>
          <w:szCs w:val="18"/>
        </w:rPr>
        <w:t xml:space="preserve"> composto dai tre</w:t>
      </w:r>
      <w:r w:rsidRPr="00266AA1">
        <w:rPr>
          <w:rFonts w:cs="Arial"/>
          <w:sz w:val="18"/>
          <w:szCs w:val="18"/>
        </w:rPr>
        <w:t xml:space="preserve"> soci </w:t>
      </w:r>
      <w:r w:rsidRPr="00266AA1">
        <w:rPr>
          <w:rFonts w:cs="Arial"/>
          <w:b/>
          <w:sz w:val="18"/>
          <w:szCs w:val="18"/>
        </w:rPr>
        <w:t>Luca Bombassei, Franz Siccardi, Simona Traversa</w:t>
      </w:r>
      <w:r w:rsidRPr="00266AA1">
        <w:rPr>
          <w:rFonts w:cs="Arial"/>
          <w:sz w:val="18"/>
          <w:szCs w:val="18"/>
        </w:rPr>
        <w:t xml:space="preserve"> e da una  ventina di professionisti.</w:t>
      </w:r>
    </w:p>
    <w:p w:rsidR="00D64291" w:rsidRPr="00266AA1" w:rsidRDefault="00D64291" w:rsidP="00EB757B">
      <w:pPr>
        <w:spacing w:line="300" w:lineRule="exact"/>
        <w:jc w:val="both"/>
        <w:rPr>
          <w:rFonts w:cs="Arial"/>
          <w:sz w:val="18"/>
          <w:szCs w:val="18"/>
        </w:rPr>
      </w:pPr>
      <w:r w:rsidRPr="00266AA1">
        <w:rPr>
          <w:rFonts w:cs="Arial"/>
          <w:sz w:val="18"/>
          <w:szCs w:val="18"/>
        </w:rPr>
        <w:t>Blast ha sede a Milano e Bergamo, all’interno del Parco Scientifico Tecnologico Kilometro Rosso.  Da marzo 2008 sono operative anche una nuova sede ad Abu Dhabi, negli Emirati Arabi e una a Bucarest, in Romania per lo s</w:t>
      </w:r>
      <w:r>
        <w:rPr>
          <w:rFonts w:cs="Arial"/>
          <w:sz w:val="18"/>
          <w:szCs w:val="18"/>
        </w:rPr>
        <w:t>viluppo di progetti nell’</w:t>
      </w:r>
      <w:r w:rsidRPr="00266AA1">
        <w:rPr>
          <w:rFonts w:cs="Arial"/>
          <w:sz w:val="18"/>
          <w:szCs w:val="18"/>
        </w:rPr>
        <w:t>Est Europa</w:t>
      </w:r>
      <w:r>
        <w:rPr>
          <w:rFonts w:cs="Arial"/>
          <w:sz w:val="18"/>
          <w:szCs w:val="18"/>
        </w:rPr>
        <w:t xml:space="preserve">. </w:t>
      </w:r>
      <w:r w:rsidRPr="00266AA1">
        <w:rPr>
          <w:rFonts w:cs="Arial"/>
          <w:sz w:val="18"/>
          <w:szCs w:val="18"/>
        </w:rPr>
        <w:t xml:space="preserve">Dal 2001 lo Studio Blast ha lavorato al coordinamento progettuale del </w:t>
      </w:r>
      <w:r w:rsidRPr="00266AA1">
        <w:rPr>
          <w:rFonts w:cs="Arial"/>
          <w:b/>
          <w:sz w:val="18"/>
          <w:szCs w:val="18"/>
        </w:rPr>
        <w:t xml:space="preserve">Parco Scientifico Tecnologico </w:t>
      </w:r>
      <w:r w:rsidRPr="00266AA1">
        <w:rPr>
          <w:rFonts w:cs="Arial"/>
          <w:sz w:val="18"/>
          <w:szCs w:val="18"/>
        </w:rPr>
        <w:t xml:space="preserve">dove ha progressivamente approfondito la sperimentazione </w:t>
      </w:r>
      <w:r w:rsidRPr="00266AA1">
        <w:rPr>
          <w:rFonts w:cs="Arial"/>
          <w:b/>
          <w:sz w:val="18"/>
          <w:szCs w:val="18"/>
        </w:rPr>
        <w:t xml:space="preserve">dell’architettura sostenibile </w:t>
      </w:r>
      <w:r w:rsidRPr="00266AA1">
        <w:rPr>
          <w:rFonts w:cs="Arial"/>
          <w:sz w:val="18"/>
          <w:szCs w:val="18"/>
        </w:rPr>
        <w:t xml:space="preserve">con la progettazione del </w:t>
      </w:r>
      <w:r w:rsidRPr="00266AA1">
        <w:rPr>
          <w:rFonts w:cs="Arial"/>
          <w:b/>
          <w:sz w:val="18"/>
          <w:szCs w:val="18"/>
        </w:rPr>
        <w:t>Centro delle Professioni</w:t>
      </w:r>
      <w:r w:rsidRPr="00266AA1">
        <w:rPr>
          <w:rFonts w:cs="Arial"/>
          <w:sz w:val="18"/>
          <w:szCs w:val="18"/>
        </w:rPr>
        <w:t xml:space="preserve"> e del </w:t>
      </w:r>
      <w:r w:rsidRPr="00266AA1">
        <w:rPr>
          <w:rFonts w:cs="Arial"/>
          <w:b/>
          <w:sz w:val="18"/>
          <w:szCs w:val="18"/>
        </w:rPr>
        <w:t>Centro per l’Innovazione dell’Università degli Studi di Bergamo.</w:t>
      </w:r>
      <w:r w:rsidRPr="00266AA1">
        <w:rPr>
          <w:rFonts w:cs="Arial"/>
          <w:sz w:val="18"/>
          <w:szCs w:val="18"/>
        </w:rPr>
        <w:t xml:space="preserve"> </w:t>
      </w:r>
    </w:p>
    <w:p w:rsidR="00D64291" w:rsidRPr="005330E0" w:rsidRDefault="00D64291" w:rsidP="005330E0">
      <w:pPr>
        <w:spacing w:line="300" w:lineRule="exact"/>
        <w:jc w:val="both"/>
        <w:rPr>
          <w:rFonts w:cs="Arial"/>
          <w:sz w:val="18"/>
          <w:szCs w:val="18"/>
        </w:rPr>
      </w:pPr>
      <w:r w:rsidRPr="00266AA1">
        <w:rPr>
          <w:rFonts w:cs="Arial"/>
          <w:sz w:val="18"/>
          <w:szCs w:val="18"/>
        </w:rPr>
        <w:t>In linea con questo orientamento</w:t>
      </w:r>
      <w:r>
        <w:rPr>
          <w:rFonts w:cs="Arial"/>
          <w:sz w:val="18"/>
          <w:szCs w:val="18"/>
        </w:rPr>
        <w:t xml:space="preserve">  </w:t>
      </w:r>
      <w:r w:rsidRPr="00266AA1">
        <w:rPr>
          <w:rFonts w:cs="Arial"/>
          <w:sz w:val="18"/>
          <w:szCs w:val="18"/>
        </w:rPr>
        <w:t>sono anche i più recenti progetti dello studio: l’</w:t>
      </w:r>
      <w:r w:rsidRPr="00266AA1">
        <w:rPr>
          <w:rFonts w:cs="Arial"/>
          <w:b/>
          <w:sz w:val="18"/>
          <w:szCs w:val="18"/>
        </w:rPr>
        <w:t>E-motion park®</w:t>
      </w:r>
      <w:r w:rsidRPr="00266AA1">
        <w:rPr>
          <w:rFonts w:cs="Arial"/>
          <w:sz w:val="18"/>
          <w:szCs w:val="18"/>
        </w:rPr>
        <w:t>, un innovativo format commerciale dedicato al mondo dell’</w:t>
      </w:r>
      <w:r w:rsidRPr="00266AA1">
        <w:rPr>
          <w:rFonts w:cs="Arial"/>
          <w:i/>
          <w:sz w:val="18"/>
          <w:szCs w:val="18"/>
        </w:rPr>
        <w:t xml:space="preserve">automotive, </w:t>
      </w:r>
      <w:r w:rsidRPr="00266AA1">
        <w:rPr>
          <w:rFonts w:cs="Arial"/>
          <w:sz w:val="18"/>
          <w:szCs w:val="18"/>
        </w:rPr>
        <w:t xml:space="preserve">i Flagship store europei di </w:t>
      </w:r>
      <w:r w:rsidRPr="00266AA1">
        <w:rPr>
          <w:rFonts w:cs="Arial"/>
          <w:b/>
          <w:sz w:val="18"/>
          <w:szCs w:val="18"/>
        </w:rPr>
        <w:t>Skitsch®</w:t>
      </w:r>
      <w:r w:rsidRPr="00266AA1">
        <w:rPr>
          <w:rFonts w:cs="Arial"/>
          <w:sz w:val="18"/>
          <w:szCs w:val="18"/>
        </w:rPr>
        <w:t xml:space="preserve">, nuovo marchio di design sostenibile, i </w:t>
      </w:r>
      <w:r w:rsidRPr="00266AA1">
        <w:rPr>
          <w:rFonts w:cs="Arial"/>
          <w:b/>
          <w:sz w:val="18"/>
          <w:szCs w:val="18"/>
        </w:rPr>
        <w:t xml:space="preserve">Baby caring®, </w:t>
      </w:r>
      <w:r w:rsidRPr="00266AA1">
        <w:rPr>
          <w:rFonts w:cs="Arial"/>
          <w:sz w:val="18"/>
          <w:szCs w:val="18"/>
        </w:rPr>
        <w:t xml:space="preserve">centri di intrattenimento e gioco per bimbi e genitori, la Città dei Bambini </w:t>
      </w:r>
      <w:r w:rsidRPr="00266AA1">
        <w:rPr>
          <w:rFonts w:cs="Arial"/>
          <w:b/>
          <w:sz w:val="18"/>
          <w:szCs w:val="18"/>
        </w:rPr>
        <w:t>WOW®,</w:t>
      </w:r>
      <w:r w:rsidRPr="00266AA1">
        <w:rPr>
          <w:rFonts w:cs="Arial"/>
          <w:sz w:val="18"/>
          <w:szCs w:val="18"/>
        </w:rPr>
        <w:t xml:space="preserve"> un parco ludico-ricreativo con finalità pedagogiche e gli edifici turistici, commerciali e per uffici attualmente in fase di </w:t>
      </w:r>
      <w:r w:rsidRPr="007332E5">
        <w:rPr>
          <w:rFonts w:cs="Arial"/>
          <w:sz w:val="18"/>
          <w:szCs w:val="18"/>
        </w:rPr>
        <w:t>studio in Romania.</w:t>
      </w:r>
    </w:p>
    <w:sectPr w:rsidR="00D64291" w:rsidRPr="005330E0" w:rsidSect="00544E19">
      <w:headerReference w:type="default" r:id="rId7"/>
      <w:footerReference w:type="even" r:id="rId8"/>
      <w:footerReference w:type="default" r:id="rId9"/>
      <w:headerReference w:type="first" r:id="rId10"/>
      <w:footerReference w:type="first" r:id="rId11"/>
      <w:pgSz w:w="11903" w:h="16838"/>
      <w:pgMar w:top="1418" w:right="1134" w:bottom="1134" w:left="1134" w:header="0" w:footer="0"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4291" w:rsidRDefault="00D64291">
      <w:r>
        <w:separator/>
      </w:r>
    </w:p>
  </w:endnote>
  <w:endnote w:type="continuationSeparator" w:id="1">
    <w:p w:rsidR="00D64291" w:rsidRDefault="00D6429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Univers">
    <w:altName w:val="Arial"/>
    <w:panose1 w:val="000005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291" w:rsidRDefault="00D64291" w:rsidP="00AB33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64291" w:rsidRDefault="00D64291" w:rsidP="0077787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291" w:rsidRPr="00777870" w:rsidRDefault="00D64291" w:rsidP="00777870">
    <w:pPr>
      <w:pStyle w:val="Footer"/>
      <w:framePr w:wrap="around" w:vAnchor="text" w:hAnchor="page" w:x="11422" w:y="-189"/>
      <w:jc w:val="right"/>
      <w:rPr>
        <w:rStyle w:val="PageNumber"/>
        <w:sz w:val="20"/>
        <w:szCs w:val="20"/>
      </w:rPr>
    </w:pPr>
    <w:r w:rsidRPr="00777870">
      <w:rPr>
        <w:rStyle w:val="PageNumber"/>
        <w:sz w:val="20"/>
        <w:szCs w:val="20"/>
      </w:rPr>
      <w:fldChar w:fldCharType="begin"/>
    </w:r>
    <w:r w:rsidRPr="00777870">
      <w:rPr>
        <w:rStyle w:val="PageNumber"/>
        <w:sz w:val="20"/>
        <w:szCs w:val="20"/>
      </w:rPr>
      <w:instrText xml:space="preserve">PAGE  </w:instrText>
    </w:r>
    <w:r w:rsidRPr="00777870">
      <w:rPr>
        <w:rStyle w:val="PageNumber"/>
        <w:sz w:val="20"/>
        <w:szCs w:val="20"/>
      </w:rPr>
      <w:fldChar w:fldCharType="separate"/>
    </w:r>
    <w:r>
      <w:rPr>
        <w:rStyle w:val="PageNumber"/>
        <w:noProof/>
        <w:sz w:val="20"/>
        <w:szCs w:val="20"/>
      </w:rPr>
      <w:t>2</w:t>
    </w:r>
    <w:r w:rsidRPr="00777870">
      <w:rPr>
        <w:rStyle w:val="PageNumber"/>
        <w:sz w:val="20"/>
        <w:szCs w:val="20"/>
      </w:rPr>
      <w:fldChar w:fldCharType="end"/>
    </w:r>
  </w:p>
  <w:tbl>
    <w:tblPr>
      <w:tblW w:w="11199" w:type="dxa"/>
      <w:tblInd w:w="-783" w:type="dxa"/>
      <w:tblCellMar>
        <w:left w:w="0" w:type="dxa"/>
        <w:right w:w="0" w:type="dxa"/>
      </w:tblCellMar>
      <w:tblLook w:val="00BF"/>
    </w:tblPr>
    <w:tblGrid>
      <w:gridCol w:w="10416"/>
    </w:tblGrid>
    <w:tr w:rsidR="00D64291" w:rsidTr="00B8496B">
      <w:tc>
        <w:tcPr>
          <w:tcW w:w="11199" w:type="dxa"/>
        </w:tcPr>
        <w:p w:rsidR="00D64291" w:rsidRPr="008B27DF" w:rsidRDefault="00D64291" w:rsidP="00777870">
          <w:pPr>
            <w:ind w:right="360"/>
            <w:rPr>
              <w:sz w:val="15"/>
            </w:rPr>
          </w:pPr>
        </w:p>
      </w:tc>
    </w:tr>
  </w:tbl>
  <w:p w:rsidR="00D64291" w:rsidRDefault="00D6429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199" w:type="dxa"/>
      <w:tblInd w:w="-783" w:type="dxa"/>
      <w:tblCellMar>
        <w:left w:w="0" w:type="dxa"/>
        <w:right w:w="0" w:type="dxa"/>
      </w:tblCellMar>
      <w:tblLook w:val="00BF"/>
    </w:tblPr>
    <w:tblGrid>
      <w:gridCol w:w="10416"/>
    </w:tblGrid>
    <w:tr w:rsidR="00D64291">
      <w:tc>
        <w:tcPr>
          <w:tcW w:w="11199" w:type="dxa"/>
        </w:tcPr>
        <w:p w:rsidR="00D64291" w:rsidRPr="008B27DF" w:rsidRDefault="00D64291" w:rsidP="007546CE">
          <w:pPr>
            <w:rPr>
              <w:sz w:val="15"/>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6.35pt;margin-top:-60.7pt;width:593.85pt;height:70.3pt;z-index:251657728">
                <v:imagedata r:id="rId1" o:title=""/>
              </v:shape>
            </w:pict>
          </w:r>
        </w:p>
      </w:tc>
    </w:tr>
  </w:tbl>
  <w:p w:rsidR="00D64291" w:rsidRDefault="00D64291" w:rsidP="007546C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4291" w:rsidRDefault="00D64291">
      <w:r>
        <w:separator/>
      </w:r>
    </w:p>
  </w:footnote>
  <w:footnote w:type="continuationSeparator" w:id="1">
    <w:p w:rsidR="00D64291" w:rsidRDefault="00D642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81" w:type="dxa"/>
      <w:tblLayout w:type="fixed"/>
      <w:tblLook w:val="00BF"/>
    </w:tblPr>
    <w:tblGrid>
      <w:gridCol w:w="9072"/>
      <w:gridCol w:w="1701"/>
    </w:tblGrid>
    <w:tr w:rsidR="00D64291" w:rsidTr="00882418">
      <w:trPr>
        <w:trHeight w:val="4111"/>
      </w:trPr>
      <w:tc>
        <w:tcPr>
          <w:tcW w:w="9180" w:type="dxa"/>
        </w:tcPr>
        <w:p w:rsidR="00D64291" w:rsidRDefault="00D64291" w:rsidP="00882418">
          <w:pPr>
            <w:pStyle w:val="Header"/>
          </w:pPr>
        </w:p>
      </w:tc>
      <w:tc>
        <w:tcPr>
          <w:tcW w:w="1701" w:type="dxa"/>
        </w:tcPr>
        <w:p w:rsidR="00D64291" w:rsidRDefault="00D64291" w:rsidP="00882418">
          <w:pPr>
            <w:pStyle w:val="Header"/>
            <w:tabs>
              <w:tab w:val="left" w:pos="2302"/>
            </w:tabs>
            <w:ind w:right="-102"/>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15pt;margin-top:22.65pt;width:68.6pt;height:118.2pt;z-index:251656704;mso-position-horizontal-relative:text;mso-position-vertical-relative:text">
                <v:imagedata r:id="rId1" o:title=""/>
              </v:shape>
            </w:pict>
          </w:r>
        </w:p>
      </w:tc>
    </w:tr>
  </w:tbl>
  <w:p w:rsidR="00D64291" w:rsidRDefault="00D6429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291" w:rsidRDefault="00D64291"/>
  <w:tbl>
    <w:tblPr>
      <w:tblW w:w="10881" w:type="dxa"/>
      <w:tblLayout w:type="fixed"/>
      <w:tblLook w:val="00BF"/>
    </w:tblPr>
    <w:tblGrid>
      <w:gridCol w:w="9072"/>
      <w:gridCol w:w="1701"/>
    </w:tblGrid>
    <w:tr w:rsidR="00D64291" w:rsidTr="00FE2E91">
      <w:trPr>
        <w:trHeight w:hRule="exact" w:val="3970"/>
      </w:trPr>
      <w:tc>
        <w:tcPr>
          <w:tcW w:w="9180" w:type="dxa"/>
        </w:tcPr>
        <w:p w:rsidR="00D64291" w:rsidRDefault="00D64291" w:rsidP="005330E0">
          <w:pPr>
            <w:pStyle w:val="BodyText"/>
            <w:rPr>
              <w:b/>
              <w:sz w:val="28"/>
              <w:szCs w:val="28"/>
            </w:rPr>
          </w:pPr>
        </w:p>
        <w:p w:rsidR="00D64291" w:rsidRDefault="00D64291" w:rsidP="005330E0">
          <w:pPr>
            <w:pStyle w:val="BodyText"/>
            <w:rPr>
              <w:b/>
              <w:sz w:val="28"/>
              <w:szCs w:val="28"/>
            </w:rPr>
          </w:pPr>
        </w:p>
        <w:p w:rsidR="00D64291" w:rsidRDefault="00D64291" w:rsidP="005330E0">
          <w:pPr>
            <w:pStyle w:val="BodyText"/>
            <w:rPr>
              <w:b/>
              <w:sz w:val="28"/>
              <w:szCs w:val="28"/>
            </w:rPr>
          </w:pPr>
        </w:p>
        <w:p w:rsidR="00D64291" w:rsidRDefault="00D64291" w:rsidP="005330E0">
          <w:pPr>
            <w:pStyle w:val="BodyText"/>
            <w:rPr>
              <w:b/>
              <w:sz w:val="28"/>
              <w:szCs w:val="28"/>
            </w:rPr>
          </w:pPr>
        </w:p>
        <w:p w:rsidR="00D64291" w:rsidRDefault="00D64291" w:rsidP="005330E0">
          <w:pPr>
            <w:pStyle w:val="BodyText"/>
            <w:rPr>
              <w:b/>
              <w:sz w:val="28"/>
              <w:szCs w:val="28"/>
            </w:rPr>
          </w:pPr>
        </w:p>
        <w:p w:rsidR="00D64291" w:rsidRDefault="00D64291" w:rsidP="005330E0">
          <w:pPr>
            <w:pStyle w:val="BodyText"/>
            <w:rPr>
              <w:b/>
              <w:sz w:val="28"/>
              <w:szCs w:val="28"/>
            </w:rPr>
          </w:pPr>
        </w:p>
        <w:p w:rsidR="00D64291" w:rsidRDefault="00D64291" w:rsidP="005330E0">
          <w:pPr>
            <w:pStyle w:val="BodyText"/>
            <w:rPr>
              <w:b/>
              <w:sz w:val="28"/>
              <w:szCs w:val="28"/>
            </w:rPr>
          </w:pPr>
        </w:p>
        <w:p w:rsidR="00D64291" w:rsidRDefault="00D64291" w:rsidP="005330E0">
          <w:pPr>
            <w:pStyle w:val="BodyText"/>
            <w:rPr>
              <w:b/>
              <w:sz w:val="26"/>
              <w:szCs w:val="26"/>
            </w:rPr>
          </w:pPr>
        </w:p>
        <w:p w:rsidR="00D64291" w:rsidRPr="00683070" w:rsidRDefault="00D64291" w:rsidP="005330E0">
          <w:pPr>
            <w:pStyle w:val="BodyText"/>
            <w:rPr>
              <w:b/>
              <w:sz w:val="26"/>
              <w:szCs w:val="26"/>
            </w:rPr>
          </w:pPr>
        </w:p>
        <w:p w:rsidR="00D64291" w:rsidRPr="00683070" w:rsidRDefault="00D64291" w:rsidP="005330E0">
          <w:pPr>
            <w:pStyle w:val="BodyText"/>
            <w:rPr>
              <w:rFonts w:ascii="Arial" w:hAnsi="Arial" w:cs="Arial"/>
              <w:b/>
              <w:sz w:val="26"/>
              <w:szCs w:val="26"/>
            </w:rPr>
          </w:pPr>
          <w:r>
            <w:rPr>
              <w:rFonts w:ascii="Arial" w:hAnsi="Arial" w:cs="Arial"/>
              <w:b/>
              <w:sz w:val="26"/>
              <w:szCs w:val="26"/>
            </w:rPr>
            <w:t xml:space="preserve">Centro delle Professioni </w:t>
          </w:r>
        </w:p>
        <w:p w:rsidR="00D64291" w:rsidRDefault="00D64291" w:rsidP="005330E0">
          <w:pPr>
            <w:pStyle w:val="BodyText"/>
            <w:rPr>
              <w:rFonts w:ascii="Arial" w:hAnsi="Arial" w:cs="Arial"/>
              <w:b/>
              <w:sz w:val="26"/>
              <w:szCs w:val="26"/>
            </w:rPr>
          </w:pPr>
          <w:r>
            <w:rPr>
              <w:rFonts w:ascii="Arial" w:hAnsi="Arial" w:cs="Arial"/>
              <w:b/>
              <w:sz w:val="26"/>
              <w:szCs w:val="26"/>
            </w:rPr>
            <w:t xml:space="preserve">e </w:t>
          </w:r>
          <w:r w:rsidRPr="00683070">
            <w:rPr>
              <w:rFonts w:ascii="Arial" w:hAnsi="Arial" w:cs="Arial"/>
              <w:b/>
              <w:sz w:val="26"/>
              <w:szCs w:val="26"/>
            </w:rPr>
            <w:t>Centro per l’Innovazione dell’Università degli Studi di Bergamo</w:t>
          </w:r>
          <w:r>
            <w:rPr>
              <w:rFonts w:ascii="Arial" w:hAnsi="Arial" w:cs="Arial"/>
              <w:b/>
              <w:sz w:val="26"/>
              <w:szCs w:val="26"/>
            </w:rPr>
            <w:t>:</w:t>
          </w:r>
        </w:p>
        <w:p w:rsidR="00D64291" w:rsidRPr="00683070" w:rsidRDefault="00D64291" w:rsidP="005330E0">
          <w:pPr>
            <w:pStyle w:val="BodyText"/>
            <w:rPr>
              <w:rFonts w:ascii="Arial" w:hAnsi="Arial" w:cs="Arial"/>
              <w:b/>
              <w:sz w:val="26"/>
              <w:szCs w:val="26"/>
            </w:rPr>
          </w:pPr>
          <w:r w:rsidRPr="00683070">
            <w:rPr>
              <w:rFonts w:ascii="Arial" w:hAnsi="Arial" w:cs="Arial"/>
              <w:b/>
              <w:sz w:val="26"/>
              <w:szCs w:val="26"/>
            </w:rPr>
            <w:t>due progetti di Blast Architetti, Bombassei, Siccardi, Traversa</w:t>
          </w:r>
        </w:p>
        <w:p w:rsidR="00D64291" w:rsidRPr="00E85711" w:rsidRDefault="00D64291" w:rsidP="00B24FD0">
          <w:pPr>
            <w:ind w:right="421"/>
            <w:rPr>
              <w:sz w:val="20"/>
              <w:szCs w:val="20"/>
            </w:rPr>
          </w:pPr>
        </w:p>
        <w:p w:rsidR="00D64291" w:rsidRPr="003A0C87" w:rsidRDefault="00D64291" w:rsidP="00B24FD0">
          <w:pPr>
            <w:ind w:right="421"/>
            <w:rPr>
              <w:b/>
              <w:i/>
              <w:sz w:val="20"/>
              <w:szCs w:val="20"/>
            </w:rPr>
          </w:pPr>
        </w:p>
        <w:p w:rsidR="00D64291" w:rsidRPr="00C42234" w:rsidRDefault="00D64291" w:rsidP="00911308"/>
      </w:tc>
      <w:tc>
        <w:tcPr>
          <w:tcW w:w="1701" w:type="dxa"/>
        </w:tcPr>
        <w:p w:rsidR="00D64291" w:rsidRDefault="00D64291" w:rsidP="007546CE">
          <w:pPr>
            <w:pStyle w:val="Header"/>
            <w:tabs>
              <w:tab w:val="left" w:pos="2302"/>
            </w:tabs>
            <w:ind w:right="-102"/>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45pt;margin-top:23.6pt;width:79.65pt;height:170.55pt;z-index:251658752;mso-position-horizontal-relative:text;mso-position-vertical-relative:text">
                <v:imagedata r:id="rId1" o:title=""/>
              </v:shape>
            </w:pict>
          </w:r>
        </w:p>
      </w:tc>
    </w:tr>
    <w:tr w:rsidR="00D64291">
      <w:trPr>
        <w:trHeight w:val="4962"/>
      </w:trPr>
      <w:tc>
        <w:tcPr>
          <w:tcW w:w="9180" w:type="dxa"/>
        </w:tcPr>
        <w:p w:rsidR="00D64291" w:rsidRDefault="00D64291">
          <w:pPr>
            <w:pStyle w:val="Header"/>
          </w:pPr>
        </w:p>
      </w:tc>
      <w:tc>
        <w:tcPr>
          <w:tcW w:w="1701" w:type="dxa"/>
        </w:tcPr>
        <w:p w:rsidR="00D64291" w:rsidRDefault="00D64291" w:rsidP="007546CE">
          <w:pPr>
            <w:pStyle w:val="Header"/>
            <w:tabs>
              <w:tab w:val="left" w:pos="2302"/>
            </w:tabs>
            <w:ind w:left="34" w:right="-102"/>
          </w:pPr>
        </w:p>
      </w:tc>
    </w:tr>
    <w:tr w:rsidR="00D64291">
      <w:trPr>
        <w:trHeight w:val="4962"/>
      </w:trPr>
      <w:tc>
        <w:tcPr>
          <w:tcW w:w="9180" w:type="dxa"/>
        </w:tcPr>
        <w:p w:rsidR="00D64291" w:rsidRDefault="00D64291">
          <w:pPr>
            <w:pStyle w:val="Header"/>
          </w:pPr>
        </w:p>
      </w:tc>
      <w:tc>
        <w:tcPr>
          <w:tcW w:w="1701" w:type="dxa"/>
        </w:tcPr>
        <w:p w:rsidR="00D64291" w:rsidRDefault="00D64291" w:rsidP="007546CE">
          <w:pPr>
            <w:pStyle w:val="Header"/>
            <w:tabs>
              <w:tab w:val="left" w:pos="2302"/>
            </w:tabs>
            <w:ind w:left="34" w:right="-102"/>
          </w:pPr>
        </w:p>
      </w:tc>
    </w:tr>
    <w:tr w:rsidR="00D64291">
      <w:trPr>
        <w:trHeight w:val="4962"/>
      </w:trPr>
      <w:tc>
        <w:tcPr>
          <w:tcW w:w="9180" w:type="dxa"/>
        </w:tcPr>
        <w:p w:rsidR="00D64291" w:rsidRDefault="00D64291">
          <w:pPr>
            <w:pStyle w:val="Header"/>
          </w:pPr>
        </w:p>
      </w:tc>
      <w:tc>
        <w:tcPr>
          <w:tcW w:w="1701" w:type="dxa"/>
        </w:tcPr>
        <w:p w:rsidR="00D64291" w:rsidRDefault="00D64291" w:rsidP="007546CE">
          <w:pPr>
            <w:pStyle w:val="Header"/>
            <w:tabs>
              <w:tab w:val="left" w:pos="2302"/>
            </w:tabs>
            <w:ind w:left="34" w:right="-102"/>
          </w:pPr>
        </w:p>
      </w:tc>
    </w:tr>
    <w:tr w:rsidR="00D64291">
      <w:trPr>
        <w:trHeight w:val="4962"/>
      </w:trPr>
      <w:tc>
        <w:tcPr>
          <w:tcW w:w="9180" w:type="dxa"/>
        </w:tcPr>
        <w:p w:rsidR="00D64291" w:rsidRDefault="00D64291">
          <w:pPr>
            <w:pStyle w:val="Header"/>
          </w:pPr>
        </w:p>
      </w:tc>
      <w:tc>
        <w:tcPr>
          <w:tcW w:w="1701" w:type="dxa"/>
        </w:tcPr>
        <w:p w:rsidR="00D64291" w:rsidRDefault="00D64291" w:rsidP="007546CE">
          <w:pPr>
            <w:pStyle w:val="Header"/>
            <w:tabs>
              <w:tab w:val="left" w:pos="2302"/>
            </w:tabs>
            <w:ind w:left="34" w:right="-102"/>
          </w:pPr>
        </w:p>
      </w:tc>
    </w:tr>
  </w:tbl>
  <w:p w:rsidR="00D64291" w:rsidRDefault="00D6429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4D5C"/>
    <w:multiLevelType w:val="hybridMultilevel"/>
    <w:tmpl w:val="E2E04872"/>
    <w:lvl w:ilvl="0" w:tplc="0410000B">
      <w:start w:val="1"/>
      <w:numFmt w:val="bullet"/>
      <w:lvlText w:val=""/>
      <w:lvlJc w:val="left"/>
      <w:pPr>
        <w:tabs>
          <w:tab w:val="num" w:pos="1428"/>
        </w:tabs>
        <w:ind w:left="1428" w:hanging="360"/>
      </w:pPr>
      <w:rPr>
        <w:rFonts w:ascii="Wingdings" w:hAnsi="Wingdings" w:hint="default"/>
      </w:rPr>
    </w:lvl>
    <w:lvl w:ilvl="1" w:tplc="04100003">
      <w:start w:val="1"/>
      <w:numFmt w:val="bullet"/>
      <w:lvlText w:val="o"/>
      <w:lvlJc w:val="left"/>
      <w:pPr>
        <w:tabs>
          <w:tab w:val="num" w:pos="2148"/>
        </w:tabs>
        <w:ind w:left="2148" w:hanging="360"/>
      </w:pPr>
      <w:rPr>
        <w:rFonts w:ascii="Courier New" w:hAnsi="Courier New" w:hint="default"/>
      </w:rPr>
    </w:lvl>
    <w:lvl w:ilvl="2" w:tplc="04100005">
      <w:start w:val="1"/>
      <w:numFmt w:val="bullet"/>
      <w:lvlText w:val=""/>
      <w:lvlJc w:val="left"/>
      <w:pPr>
        <w:tabs>
          <w:tab w:val="num" w:pos="2868"/>
        </w:tabs>
        <w:ind w:left="2868" w:hanging="360"/>
      </w:pPr>
      <w:rPr>
        <w:rFonts w:ascii="Wingdings" w:hAnsi="Wingdings" w:hint="default"/>
      </w:rPr>
    </w:lvl>
    <w:lvl w:ilvl="3" w:tplc="04100001">
      <w:start w:val="1"/>
      <w:numFmt w:val="bullet"/>
      <w:lvlText w:val=""/>
      <w:lvlJc w:val="left"/>
      <w:pPr>
        <w:tabs>
          <w:tab w:val="num" w:pos="3588"/>
        </w:tabs>
        <w:ind w:left="3588" w:hanging="360"/>
      </w:pPr>
      <w:rPr>
        <w:rFonts w:ascii="Symbol" w:hAnsi="Symbol" w:hint="default"/>
      </w:rPr>
    </w:lvl>
    <w:lvl w:ilvl="4" w:tplc="04100003">
      <w:start w:val="1"/>
      <w:numFmt w:val="bullet"/>
      <w:lvlText w:val="o"/>
      <w:lvlJc w:val="left"/>
      <w:pPr>
        <w:tabs>
          <w:tab w:val="num" w:pos="4308"/>
        </w:tabs>
        <w:ind w:left="4308" w:hanging="360"/>
      </w:pPr>
      <w:rPr>
        <w:rFonts w:ascii="Courier New" w:hAnsi="Courier New" w:hint="default"/>
      </w:rPr>
    </w:lvl>
    <w:lvl w:ilvl="5" w:tplc="04100005">
      <w:start w:val="1"/>
      <w:numFmt w:val="bullet"/>
      <w:lvlText w:val=""/>
      <w:lvlJc w:val="left"/>
      <w:pPr>
        <w:tabs>
          <w:tab w:val="num" w:pos="5028"/>
        </w:tabs>
        <w:ind w:left="5028" w:hanging="360"/>
      </w:pPr>
      <w:rPr>
        <w:rFonts w:ascii="Wingdings" w:hAnsi="Wingdings" w:hint="default"/>
      </w:rPr>
    </w:lvl>
    <w:lvl w:ilvl="6" w:tplc="04100001">
      <w:start w:val="1"/>
      <w:numFmt w:val="bullet"/>
      <w:lvlText w:val=""/>
      <w:lvlJc w:val="left"/>
      <w:pPr>
        <w:tabs>
          <w:tab w:val="num" w:pos="5748"/>
        </w:tabs>
        <w:ind w:left="5748" w:hanging="360"/>
      </w:pPr>
      <w:rPr>
        <w:rFonts w:ascii="Symbol" w:hAnsi="Symbol" w:hint="default"/>
      </w:rPr>
    </w:lvl>
    <w:lvl w:ilvl="7" w:tplc="04100003">
      <w:start w:val="1"/>
      <w:numFmt w:val="bullet"/>
      <w:lvlText w:val="o"/>
      <w:lvlJc w:val="left"/>
      <w:pPr>
        <w:tabs>
          <w:tab w:val="num" w:pos="6468"/>
        </w:tabs>
        <w:ind w:left="6468" w:hanging="360"/>
      </w:pPr>
      <w:rPr>
        <w:rFonts w:ascii="Courier New" w:hAnsi="Courier New" w:hint="default"/>
      </w:rPr>
    </w:lvl>
    <w:lvl w:ilvl="8" w:tplc="04100005">
      <w:start w:val="1"/>
      <w:numFmt w:val="bullet"/>
      <w:lvlText w:val=""/>
      <w:lvlJc w:val="left"/>
      <w:pPr>
        <w:tabs>
          <w:tab w:val="num" w:pos="7188"/>
        </w:tabs>
        <w:ind w:left="7188" w:hanging="360"/>
      </w:pPr>
      <w:rPr>
        <w:rFonts w:ascii="Wingdings" w:hAnsi="Wingdings" w:hint="default"/>
      </w:rPr>
    </w:lvl>
  </w:abstractNum>
  <w:abstractNum w:abstractNumId="1">
    <w:nsid w:val="1DF74A0F"/>
    <w:multiLevelType w:val="hybridMultilevel"/>
    <w:tmpl w:val="A7F6217E"/>
    <w:lvl w:ilvl="0" w:tplc="ED404836">
      <w:numFmt w:val="bullet"/>
      <w:lvlText w:val="-"/>
      <w:lvlJc w:val="left"/>
      <w:pPr>
        <w:tabs>
          <w:tab w:val="num" w:pos="1068"/>
        </w:tabs>
        <w:ind w:left="1068" w:hanging="360"/>
      </w:pPr>
      <w:rPr>
        <w:rFonts w:ascii="Tahoma" w:eastAsia="Times New Roman" w:hAnsi="Tahoma" w:hint="default"/>
        <w:b/>
      </w:rPr>
    </w:lvl>
    <w:lvl w:ilvl="1" w:tplc="04100003">
      <w:start w:val="1"/>
      <w:numFmt w:val="bullet"/>
      <w:lvlText w:val="o"/>
      <w:lvlJc w:val="left"/>
      <w:pPr>
        <w:tabs>
          <w:tab w:val="num" w:pos="1788"/>
        </w:tabs>
        <w:ind w:left="1788" w:hanging="360"/>
      </w:pPr>
      <w:rPr>
        <w:rFonts w:ascii="Courier New" w:hAnsi="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2">
    <w:nsid w:val="45F04420"/>
    <w:multiLevelType w:val="hybridMultilevel"/>
    <w:tmpl w:val="6B2E4FEA"/>
    <w:lvl w:ilvl="0" w:tplc="A86A8DF2">
      <w:numFmt w:val="bullet"/>
      <w:lvlText w:val="-"/>
      <w:lvlJc w:val="left"/>
      <w:pPr>
        <w:tabs>
          <w:tab w:val="num" w:pos="720"/>
        </w:tabs>
        <w:ind w:left="720" w:hanging="360"/>
      </w:pPr>
      <w:rPr>
        <w:rFonts w:ascii="Tahoma" w:eastAsia="Times New Roman" w:hAnsi="Tahoma"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0000"/>
  <w:doNotTrackMoves/>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4D00"/>
    <w:rsid w:val="00073340"/>
    <w:rsid w:val="000846E8"/>
    <w:rsid w:val="000C1F32"/>
    <w:rsid w:val="002166E9"/>
    <w:rsid w:val="00247191"/>
    <w:rsid w:val="0025290A"/>
    <w:rsid w:val="00254733"/>
    <w:rsid w:val="00266AA1"/>
    <w:rsid w:val="002673FE"/>
    <w:rsid w:val="003021B3"/>
    <w:rsid w:val="003A0C87"/>
    <w:rsid w:val="003B7B67"/>
    <w:rsid w:val="003C0C42"/>
    <w:rsid w:val="00420A11"/>
    <w:rsid w:val="005330E0"/>
    <w:rsid w:val="00544E19"/>
    <w:rsid w:val="005F041C"/>
    <w:rsid w:val="006441DE"/>
    <w:rsid w:val="0064778F"/>
    <w:rsid w:val="00672D7A"/>
    <w:rsid w:val="00683070"/>
    <w:rsid w:val="0069090A"/>
    <w:rsid w:val="006F1D6E"/>
    <w:rsid w:val="007332E5"/>
    <w:rsid w:val="007546CE"/>
    <w:rsid w:val="00777870"/>
    <w:rsid w:val="008365E8"/>
    <w:rsid w:val="00855E3A"/>
    <w:rsid w:val="0086054F"/>
    <w:rsid w:val="00882418"/>
    <w:rsid w:val="008A2E52"/>
    <w:rsid w:val="008B27DF"/>
    <w:rsid w:val="008C6100"/>
    <w:rsid w:val="00911308"/>
    <w:rsid w:val="00975791"/>
    <w:rsid w:val="00986802"/>
    <w:rsid w:val="00991DA6"/>
    <w:rsid w:val="00A02A80"/>
    <w:rsid w:val="00A12A19"/>
    <w:rsid w:val="00A8133E"/>
    <w:rsid w:val="00AA5FDD"/>
    <w:rsid w:val="00AB0447"/>
    <w:rsid w:val="00AB33AA"/>
    <w:rsid w:val="00B24FD0"/>
    <w:rsid w:val="00B46FC9"/>
    <w:rsid w:val="00B66BBD"/>
    <w:rsid w:val="00B80168"/>
    <w:rsid w:val="00B8496B"/>
    <w:rsid w:val="00BA7588"/>
    <w:rsid w:val="00BE43E5"/>
    <w:rsid w:val="00C00DA3"/>
    <w:rsid w:val="00C24437"/>
    <w:rsid w:val="00C42234"/>
    <w:rsid w:val="00C67E69"/>
    <w:rsid w:val="00C71493"/>
    <w:rsid w:val="00C75F8D"/>
    <w:rsid w:val="00D4094A"/>
    <w:rsid w:val="00D64291"/>
    <w:rsid w:val="00D657B3"/>
    <w:rsid w:val="00E54006"/>
    <w:rsid w:val="00E66C0A"/>
    <w:rsid w:val="00E8466D"/>
    <w:rsid w:val="00E85711"/>
    <w:rsid w:val="00EB757B"/>
    <w:rsid w:val="00F42686"/>
    <w:rsid w:val="00F84AC4"/>
    <w:rsid w:val="00FC14D5"/>
    <w:rsid w:val="00FE2E91"/>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emiHidden/>
    <w:rsid w:val="001327F8"/>
    <w:rPr>
      <w:rFonts w:ascii="Arial" w:hAnsi="Arial"/>
      <w:sz w:val="24"/>
      <w:szCs w:val="24"/>
    </w:rPr>
  </w:style>
  <w:style w:type="paragraph" w:styleId="Footer">
    <w:name w:val="footer"/>
    <w:basedOn w:val="Normal"/>
    <w:link w:val="FooterChar"/>
    <w:uiPriority w:val="99"/>
    <w:semiHidden/>
    <w:pPr>
      <w:tabs>
        <w:tab w:val="center" w:pos="4819"/>
        <w:tab w:val="right" w:pos="9638"/>
      </w:tabs>
    </w:pPr>
  </w:style>
  <w:style w:type="character" w:customStyle="1" w:styleId="FooterChar">
    <w:name w:val="Footer Char"/>
    <w:basedOn w:val="DefaultParagraphFont"/>
    <w:link w:val="Footer"/>
    <w:uiPriority w:val="99"/>
    <w:semiHidden/>
    <w:rsid w:val="001327F8"/>
    <w:rPr>
      <w:rFonts w:ascii="Arial" w:hAnsi="Arial"/>
      <w:sz w:val="24"/>
      <w:szCs w:val="24"/>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Pr>
      <w:rFonts w:cs="Times New Roman"/>
      <w:color w:val="0000FF"/>
      <w:u w:val="single"/>
    </w:rPr>
  </w:style>
  <w:style w:type="character" w:styleId="PageNumber">
    <w:name w:val="page number"/>
    <w:basedOn w:val="DefaultParagraphFont"/>
    <w:uiPriority w:val="99"/>
    <w:rsid w:val="00777870"/>
    <w:rPr>
      <w:rFonts w:cs="Times New Roman"/>
    </w:rPr>
  </w:style>
  <w:style w:type="paragraph" w:styleId="BodyText">
    <w:name w:val="Body Text"/>
    <w:basedOn w:val="Normal"/>
    <w:link w:val="BodyTextChar"/>
    <w:uiPriority w:val="99"/>
    <w:semiHidden/>
    <w:rsid w:val="00D657B3"/>
    <w:pPr>
      <w:jc w:val="both"/>
    </w:pPr>
    <w:rPr>
      <w:rFonts w:ascii="Univers" w:hAnsi="Univers"/>
      <w:sz w:val="20"/>
      <w:szCs w:val="20"/>
    </w:rPr>
  </w:style>
  <w:style w:type="character" w:customStyle="1" w:styleId="BodyTextChar">
    <w:name w:val="Body Text Char"/>
    <w:basedOn w:val="DefaultParagraphFont"/>
    <w:link w:val="BodyText"/>
    <w:uiPriority w:val="99"/>
    <w:semiHidden/>
    <w:rsid w:val="001327F8"/>
    <w:rPr>
      <w:rFonts w:ascii="Arial" w:hAnsi="Arial"/>
      <w:sz w:val="24"/>
      <w:szCs w:val="24"/>
    </w:rPr>
  </w:style>
  <w:style w:type="paragraph" w:styleId="NormalWeb">
    <w:name w:val="Normal (Web)"/>
    <w:basedOn w:val="Normal"/>
    <w:uiPriority w:val="99"/>
    <w:rsid w:val="00B24FD0"/>
    <w:pPr>
      <w:spacing w:before="100" w:beforeAutospacing="1" w:after="100" w:afterAutospacing="1"/>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1</Pages>
  <Words>1002</Words>
  <Characters>5715</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uyihyhhhhhhhhhhhhhhhhhhhhhhhhhhhhhhhhhhhhhhhhhhhhhhhhhhhhhhhhhhhhhhhhhhhhhhhhhhhhhhhhhhhhhhhhhhhhhhhhhhhhhhhhhhhhhhhhhhhhhhhhhh</dc:title>
  <dc:subject/>
  <dc:creator>Blast</dc:creator>
  <cp:keywords/>
  <dc:description/>
  <cp:lastModifiedBy>AComi</cp:lastModifiedBy>
  <cp:revision>7</cp:revision>
  <cp:lastPrinted>2008-11-19T17:09:00Z</cp:lastPrinted>
  <dcterms:created xsi:type="dcterms:W3CDTF">2009-09-25T13:27:00Z</dcterms:created>
  <dcterms:modified xsi:type="dcterms:W3CDTF">2009-09-25T16:34:00Z</dcterms:modified>
</cp:coreProperties>
</file>